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target audience has some points to consider while choosing free time activity or a place to go:</w:t>
      </w:r>
    </w:p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bidi w:val="0"/>
      </w:pPr>
      <w:r>
        <w:rPr>
          <w:rtl w:val="0"/>
        </w:rPr>
        <w:t xml:space="preserve"> - walking distance  45%</w:t>
      </w:r>
    </w:p>
    <w:p>
      <w:pPr>
        <w:pStyle w:val="Основной текст"/>
        <w:bidi w:val="0"/>
      </w:pPr>
      <w:r>
        <w:rPr>
          <w:rtl w:val="0"/>
        </w:rPr>
        <w:t xml:space="preserve"> - cultural interest 35%</w:t>
      </w:r>
    </w:p>
    <w:p>
      <w:pPr>
        <w:pStyle w:val="Основной текст"/>
        <w:bidi w:val="0"/>
      </w:pPr>
      <w:r>
        <w:rPr>
          <w:rtl w:val="0"/>
        </w:rPr>
        <w:t xml:space="preserve"> - fun 14%</w:t>
      </w:r>
    </w:p>
    <w:p>
      <w:pPr>
        <w:pStyle w:val="Основной текст"/>
        <w:bidi w:val="0"/>
      </w:pPr>
      <w:r>
        <w:rPr>
          <w:rtl w:val="0"/>
        </w:rPr>
        <w:t xml:space="preserve"> - affordable price 30%</w:t>
      </w:r>
    </w:p>
    <w:p>
      <w:pPr>
        <w:pStyle w:val="Основной текст"/>
        <w:bidi w:val="0"/>
      </w:pPr>
      <w:r>
        <w:rPr>
          <w:rtl w:val="0"/>
        </w:rPr>
        <w:t xml:space="preserve"> - activity 12%</w:t>
      </w:r>
    </w:p>
    <w:p>
      <w:pPr>
        <w:pStyle w:val="Основной текст"/>
        <w:bidi w:val="0"/>
      </w:pPr>
      <w:r>
        <w:rPr>
          <w:rtl w:val="0"/>
        </w:rPr>
        <w:t xml:space="preserve"> - learn something new 24%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Audience was asked what they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  <w:lang w:val="en-US"/>
        </w:rPr>
        <w:t xml:space="preserve"> do </w:t>
      </w:r>
      <w:r>
        <w:rPr>
          <w:b w:val="1"/>
          <w:bCs w:val="1"/>
          <w:rtl w:val="0"/>
          <w:lang w:val="en-US"/>
        </w:rPr>
        <w:t>if the had an unexpected  day off work: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</w:rPr>
        <w:t>d spend time outside, through th</w:t>
      </w:r>
      <w:r>
        <w:rPr>
          <w:rtl w:val="0"/>
        </w:rPr>
        <w:t>rough</w:t>
      </w:r>
      <w:r>
        <w:rPr>
          <w:rtl w:val="0"/>
        </w:rPr>
        <w:t xml:space="preserve"> city or in some park 42%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</w:rPr>
        <w:t>d spend it by myself28%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  <w:lang w:val="it-IT"/>
        </w:rPr>
        <w:t>theatre, museum, cinema etc. 21%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>cafe, bar, restaurant, shopping7%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>sports 7%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>additional work 6%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>self-education 5%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>doesn</w:t>
      </w:r>
      <w:r>
        <w:rPr>
          <w:rtl w:val="1"/>
        </w:rPr>
        <w:t>’</w:t>
      </w:r>
      <w:r>
        <w:rPr>
          <w:rtl w:val="0"/>
        </w:rPr>
        <w:t>t matter 4%</w:t>
      </w:r>
    </w:p>
    <w:p>
      <w:pPr>
        <w:pStyle w:val="Основной текст"/>
        <w:bidi w:val="0"/>
      </w:pP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statistics:</w:t>
      </w:r>
      <w:r>
        <w:rPr>
          <w:b w:val="1"/>
          <w:bCs w:val="1"/>
        </w:rPr>
        <w:drawing xmlns:a="http://schemas.openxmlformats.org/drawingml/2006/main"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1153858</wp:posOffset>
            </wp:positionH>
            <wp:positionV relativeFrom="line">
              <wp:posOffset>652920</wp:posOffset>
            </wp:positionV>
            <wp:extent cx="5607050" cy="381000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anchor>
        </w:drawing>
      </w:r>
    </w:p>
    <w:p>
      <w:pPr>
        <w:pStyle w:val="Основной текст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chart" Target="charts/chart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plotArea>
      <c:layout>
        <c:manualLayout>
          <c:layoutTarget val="inner"/>
          <c:xMode val="edge"/>
          <c:yMode val="edge"/>
          <c:x val="0.205787"/>
          <c:y val="0.12368"/>
          <c:w val="0.780487"/>
          <c:h val="0.8120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40-50</c:v>
                </c:pt>
              </c:strCache>
            </c:strRef>
          </c:tx>
          <c:spPr>
            <a:solidFill>
              <a:srgbClr val="F8BA00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" sourceLinked="0"/>
            <c:txPr>
              <a:bodyPr/>
              <a:lstStyle/>
              <a:p>
                <a:pPr>
                  <a:defRPr b="0" i="0" strike="noStrike" sz="1200" u="none">
                    <a:solidFill>
                      <a:srgbClr val="FFFFFF"/>
                    </a:solidFill>
                    <a:latin typeface="Helvetica Neue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time with friends</c:v>
                </c:pt>
                <c:pt idx="1">
                  <c:v>family</c:v>
                </c:pt>
                <c:pt idx="2">
                  <c:v>rest</c:v>
                </c:pt>
                <c:pt idx="3">
                  <c:v>garden work</c:v>
                </c:pt>
                <c:pt idx="4">
                  <c:v>internet or games</c:v>
                </c:pt>
                <c:pt idx="5">
                  <c:v>sport</c:v>
                </c:pt>
                <c:pt idx="6">
                  <c:v>self-education</c:v>
                </c:pt>
                <c:pt idx="7">
                  <c:v>hobbie</c:v>
                </c:pt>
              </c:strCache>
            </c:strRef>
          </c:cat>
          <c:val>
            <c:numRef>
              <c:f>Sheet1!$B$2:$I$2</c:f>
              <c:numCache>
                <c:ptCount val="8"/>
                <c:pt idx="0">
                  <c:v>39.900000</c:v>
                </c:pt>
                <c:pt idx="1">
                  <c:v>77.500000</c:v>
                </c:pt>
                <c:pt idx="2">
                  <c:v>44.800000</c:v>
                </c:pt>
                <c:pt idx="3">
                  <c:v>35.000000</c:v>
                </c:pt>
                <c:pt idx="4">
                  <c:v>8.500000</c:v>
                </c:pt>
                <c:pt idx="5">
                  <c:v>5.600000</c:v>
                </c:pt>
                <c:pt idx="6">
                  <c:v>3.800000</c:v>
                </c:pt>
                <c:pt idx="7">
                  <c:v>16.700000</c:v>
                </c:pt>
              </c:numCache>
            </c:numRef>
          </c:val>
        </c:ser>
        <c:gapWidth val="40"/>
        <c:overlap val="-10"/>
        <c:axId val="2094734552"/>
        <c:axId val="2094734553"/>
      </c:barChart>
      <c:catAx>
        <c:axId val="20947345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b"/>
        <c:majorGridlines>
          <c:spPr>
            <a:ln w="6350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minorTickMark val="none"/>
        <c:tickLblPos val="high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Helvetica Neue"/>
              </a:defRPr>
            </a:pPr>
          </a:p>
        </c:txPr>
        <c:crossAx val="2094734552"/>
        <c:crosses val="autoZero"/>
        <c:crossBetween val="between"/>
        <c:majorUnit val="20"/>
        <c:minorUnit val="10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145595"/>
          <c:y val="0"/>
          <c:w val="0.815402"/>
          <c:h val="0.064066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Helvetica Neue"/>
            </a:defRPr>
          </a:pPr>
        </a:p>
      </c:txPr>
    </c:legend>
    <c:plotVisOnly val="1"/>
    <c:dispBlanksAs val="gap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